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CA97" w14:textId="0DDEA6DA" w:rsidR="00B26595" w:rsidRPr="00B26595" w:rsidRDefault="00B26595" w:rsidP="00E42DEE">
      <w:pPr>
        <w:ind w:left="4536" w:firstLine="648"/>
      </w:pPr>
      <w:bookmarkStart w:id="0" w:name="_Hlk121311679"/>
      <w:r w:rsidRPr="00B26595">
        <w:t>PATVIRTINTA</w:t>
      </w:r>
    </w:p>
    <w:p w14:paraId="5506FCEE" w14:textId="77777777" w:rsidR="005B147A" w:rsidRDefault="00215488" w:rsidP="00E42DEE">
      <w:pPr>
        <w:ind w:left="5184"/>
      </w:pPr>
      <w:r>
        <w:t xml:space="preserve">Skuodo rajono savivaldybės tarybos </w:t>
      </w:r>
    </w:p>
    <w:p w14:paraId="078E3399" w14:textId="04769A38" w:rsidR="00B26595" w:rsidRDefault="00215488" w:rsidP="00E42DEE">
      <w:pPr>
        <w:ind w:left="5184"/>
      </w:pPr>
      <w:r>
        <w:t>20</w:t>
      </w:r>
      <w:r w:rsidR="00B43B99">
        <w:t>2</w:t>
      </w:r>
      <w:r w:rsidR="006333D4">
        <w:t>5</w:t>
      </w:r>
      <w:r>
        <w:t xml:space="preserve"> m. </w:t>
      </w:r>
      <w:r w:rsidR="006333D4">
        <w:t>sausio</w:t>
      </w:r>
      <w:r w:rsidR="00B43B99">
        <w:t xml:space="preserve"> </w:t>
      </w:r>
      <w:r w:rsidR="005B147A">
        <w:t xml:space="preserve"> </w:t>
      </w:r>
      <w:r>
        <w:t xml:space="preserve"> d sprendimu Nr. T9-</w:t>
      </w:r>
      <w:r w:rsidR="00B43B99">
        <w:t xml:space="preserve"> </w:t>
      </w:r>
    </w:p>
    <w:p w14:paraId="45B14600" w14:textId="33FEED9A" w:rsidR="006D5834" w:rsidRPr="00B26595" w:rsidRDefault="006D5834" w:rsidP="00B26595">
      <w:pPr>
        <w:jc w:val="center"/>
        <w:rPr>
          <w:b/>
        </w:rPr>
      </w:pPr>
      <w:r>
        <w:t xml:space="preserve">         </w:t>
      </w:r>
      <w:r w:rsidR="00E42DEE">
        <w:tab/>
        <w:t xml:space="preserve">   </w:t>
      </w:r>
      <w:r>
        <w:t xml:space="preserve"> </w:t>
      </w:r>
      <w:r w:rsidR="006333D4">
        <w:t>7</w:t>
      </w:r>
      <w:r w:rsidR="00B43B99">
        <w:t xml:space="preserve"> </w:t>
      </w:r>
      <w:r>
        <w:t>priedas</w:t>
      </w:r>
    </w:p>
    <w:p w14:paraId="232DD309" w14:textId="77777777" w:rsidR="00B26595" w:rsidRDefault="00B26595" w:rsidP="00CE55F1">
      <w:pPr>
        <w:jc w:val="center"/>
        <w:rPr>
          <w:b/>
        </w:rPr>
      </w:pPr>
    </w:p>
    <w:p w14:paraId="428EFD0D" w14:textId="77777777" w:rsidR="00761C64" w:rsidRDefault="00761C64" w:rsidP="00CE55F1">
      <w:pPr>
        <w:jc w:val="center"/>
        <w:rPr>
          <w:b/>
        </w:rPr>
      </w:pPr>
    </w:p>
    <w:p w14:paraId="66885606" w14:textId="77777777" w:rsidR="006333D4" w:rsidRPr="003D3297" w:rsidRDefault="006333D4" w:rsidP="00BE7963">
      <w:pPr>
        <w:rPr>
          <w:rFonts w:eastAsia="Calibri"/>
        </w:rPr>
      </w:pPr>
      <w:r w:rsidRPr="00964D33">
        <w:rPr>
          <w:b/>
          <w:bCs/>
        </w:rPr>
        <w:t>SKUODO RAJONO SAVIVALDYBĖS PEDAGOGINĖS PSICHOLOGINĖS TARNYBOS</w:t>
      </w:r>
    </w:p>
    <w:p w14:paraId="672A6659" w14:textId="05A52401" w:rsidR="00CE55F1" w:rsidRDefault="00CE55F1" w:rsidP="00BE7963">
      <w:pPr>
        <w:jc w:val="center"/>
        <w:rPr>
          <w:b/>
        </w:rPr>
      </w:pPr>
      <w:r w:rsidRPr="003357F0">
        <w:rPr>
          <w:b/>
        </w:rPr>
        <w:t xml:space="preserve">TEIKIAMŲ </w:t>
      </w:r>
      <w:r w:rsidR="007B0399">
        <w:rPr>
          <w:b/>
        </w:rPr>
        <w:t xml:space="preserve">ATLYGINTINŲ </w:t>
      </w:r>
      <w:r w:rsidRPr="003357F0">
        <w:rPr>
          <w:b/>
        </w:rPr>
        <w:t>PASLAUGŲ ĮKAINIAI</w:t>
      </w:r>
    </w:p>
    <w:p w14:paraId="630DCB31" w14:textId="77777777" w:rsidR="00C76E72" w:rsidRPr="003357F0" w:rsidRDefault="00C76E72" w:rsidP="006333D4">
      <w:pPr>
        <w:rPr>
          <w:b/>
        </w:rPr>
      </w:pPr>
    </w:p>
    <w:bookmarkEnd w:id="0"/>
    <w:p w14:paraId="084D864E" w14:textId="77777777" w:rsidR="00761C64" w:rsidRDefault="00761C64" w:rsidP="00813217"/>
    <w:tbl>
      <w:tblPr>
        <w:tblW w:w="100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3957"/>
        <w:gridCol w:w="1004"/>
        <w:gridCol w:w="3937"/>
      </w:tblGrid>
      <w:tr w:rsidR="006333D4" w:rsidRPr="006333D4" w14:paraId="241AA9C3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3132" w14:textId="77777777" w:rsidR="00BE7963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Eil.</w:t>
            </w:r>
          </w:p>
          <w:p w14:paraId="2CD7C1FB" w14:textId="64A74D1F" w:rsidR="006333D4" w:rsidRPr="006333D4" w:rsidRDefault="006333D4" w:rsidP="00C717B8">
            <w:pPr>
              <w:jc w:val="center"/>
              <w:rPr>
                <w:bCs/>
                <w:color w:val="000000"/>
              </w:rPr>
            </w:pPr>
            <w:r w:rsidRPr="006333D4">
              <w:rPr>
                <w:bCs/>
              </w:rPr>
              <w:t>Nr.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840F" w14:textId="77777777" w:rsidR="006333D4" w:rsidRPr="006333D4" w:rsidRDefault="006333D4" w:rsidP="00C717B8">
            <w:pPr>
              <w:jc w:val="center"/>
              <w:rPr>
                <w:bCs/>
                <w:color w:val="000000"/>
              </w:rPr>
            </w:pPr>
            <w:r w:rsidRPr="006333D4">
              <w:rPr>
                <w:bCs/>
              </w:rPr>
              <w:t>Paslaugų pavadinimas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3765" w14:textId="77777777" w:rsidR="006333D4" w:rsidRPr="006333D4" w:rsidRDefault="006333D4" w:rsidP="00C717B8">
            <w:pPr>
              <w:jc w:val="center"/>
              <w:rPr>
                <w:bCs/>
                <w:color w:val="000000"/>
              </w:rPr>
            </w:pPr>
            <w:r w:rsidRPr="006333D4">
              <w:rPr>
                <w:bCs/>
              </w:rPr>
              <w:t>Mato vienetas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18F3" w14:textId="5953CEC9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  <w:color w:val="000000"/>
              </w:rPr>
              <w:t>Paslaugų kaina (</w:t>
            </w:r>
            <w:r>
              <w:rPr>
                <w:bCs/>
                <w:color w:val="000000"/>
              </w:rPr>
              <w:t>Eur</w:t>
            </w:r>
            <w:r w:rsidRPr="006333D4">
              <w:rPr>
                <w:bCs/>
                <w:color w:val="000000"/>
              </w:rPr>
              <w:t>)</w:t>
            </w:r>
          </w:p>
          <w:p w14:paraId="7967F478" w14:textId="77777777" w:rsidR="006333D4" w:rsidRPr="006333D4" w:rsidRDefault="006333D4" w:rsidP="00C717B8">
            <w:pPr>
              <w:jc w:val="center"/>
              <w:rPr>
                <w:bCs/>
                <w:color w:val="000000"/>
              </w:rPr>
            </w:pPr>
          </w:p>
        </w:tc>
      </w:tr>
      <w:tr w:rsidR="006333D4" w:rsidRPr="006333D4" w14:paraId="5353658D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7595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1.</w:t>
            </w:r>
          </w:p>
        </w:tc>
        <w:tc>
          <w:tcPr>
            <w:tcW w:w="8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A381" w14:textId="77777777" w:rsidR="006333D4" w:rsidRPr="006333D4" w:rsidRDefault="006333D4" w:rsidP="00C717B8">
            <w:pPr>
              <w:jc w:val="center"/>
              <w:rPr>
                <w:bCs/>
                <w:color w:val="000000"/>
              </w:rPr>
            </w:pPr>
            <w:r w:rsidRPr="006333D4">
              <w:rPr>
                <w:color w:val="000000"/>
              </w:rPr>
              <w:t xml:space="preserve">Kvalifikacijos tobulinimo ir profesinių kompetencijų tobulinimo paslaugos </w:t>
            </w:r>
          </w:p>
        </w:tc>
      </w:tr>
      <w:tr w:rsidR="006333D4" w:rsidRPr="006333D4" w14:paraId="6108A15B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BC52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1.1.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776B" w14:textId="77777777" w:rsidR="006333D4" w:rsidRPr="006333D4" w:rsidRDefault="006333D4" w:rsidP="00C717B8">
            <w:pPr>
              <w:jc w:val="both"/>
              <w:rPr>
                <w:color w:val="000000"/>
              </w:rPr>
            </w:pPr>
            <w:r w:rsidRPr="006333D4">
              <w:rPr>
                <w:color w:val="000000"/>
              </w:rPr>
              <w:t>Kvalifikacijos tobulinimo renginio (seminaro, paskaitos, kursų, konferencijos, edukacinės išvykos, stažuotės Lietuvoje, užsienyje, konsultacijos ir kt.) dalyvio mokestis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37B5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</w:t>
            </w:r>
          </w:p>
          <w:p w14:paraId="189413EA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asmeniui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C6D6" w14:textId="77777777" w:rsidR="006333D4" w:rsidRPr="006333D4" w:rsidRDefault="006333D4" w:rsidP="00C717B8">
            <w:pPr>
              <w:jc w:val="both"/>
            </w:pPr>
            <w:r w:rsidRPr="006333D4">
              <w:t>Skaičiuojamas pagal formulę atlikus viešųjų pirkimų procedūras</w:t>
            </w:r>
          </w:p>
          <w:p w14:paraId="61F4B683" w14:textId="77777777" w:rsidR="006333D4" w:rsidRPr="006333D4" w:rsidRDefault="006333D4" w:rsidP="00C717B8">
            <w:pPr>
              <w:jc w:val="both"/>
            </w:pPr>
          </w:p>
          <w:p w14:paraId="040AB754" w14:textId="77777777" w:rsidR="006333D4" w:rsidRPr="006333D4" w:rsidRDefault="006333D4" w:rsidP="00C717B8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A+(KPxD)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</m:t>
                    </m:r>
                  </m:den>
                </m:f>
                <m:r>
                  <w:rPr>
                    <w:rFonts w:ascii="Cambria Math" w:hAnsi="Cambria Math"/>
                  </w:rPr>
                  <m:t>+20%</m:t>
                </m:r>
              </m:oMath>
            </m:oMathPara>
          </w:p>
          <w:p w14:paraId="2A27CF09" w14:textId="77777777" w:rsidR="006333D4" w:rsidRPr="006333D4" w:rsidRDefault="006333D4" w:rsidP="00C717B8">
            <w:pPr>
              <w:jc w:val="both"/>
            </w:pPr>
            <w:r w:rsidRPr="006333D4">
              <w:t>M – dalyvio mokestis ;</w:t>
            </w:r>
          </w:p>
          <w:p w14:paraId="543E449D" w14:textId="77777777" w:rsidR="006333D4" w:rsidRPr="006333D4" w:rsidRDefault="006333D4" w:rsidP="00C717B8">
            <w:pPr>
              <w:jc w:val="both"/>
            </w:pPr>
            <w:r w:rsidRPr="006333D4">
              <w:t xml:space="preserve">A – išlaidos (lektoriaus atlygis, kvalifikacijos tobulinimo programos parengimas, </w:t>
            </w:r>
            <w:proofErr w:type="spellStart"/>
            <w:r w:rsidRPr="006333D4">
              <w:t>dalomoji</w:t>
            </w:r>
            <w:proofErr w:type="spellEnd"/>
            <w:r w:rsidRPr="006333D4">
              <w:t xml:space="preserve"> medžiaga, patalpų ir įrangos nuoma, transporto, kelionės apgyvendinimo, maitinimo išlaidos), kurių dydis nustatomas atlikus viešuosius pirkimus ir (arba) pagal spausdinimo, kopijavimo paslaugų įkainius, nurodytus šio priedo 3 punkte;</w:t>
            </w:r>
          </w:p>
          <w:p w14:paraId="73DB2BA6" w14:textId="77777777" w:rsidR="006333D4" w:rsidRPr="006333D4" w:rsidRDefault="006333D4" w:rsidP="00C717B8">
            <w:pPr>
              <w:jc w:val="both"/>
            </w:pPr>
            <w:r w:rsidRPr="006333D4">
              <w:t>D – dalyvių skaičius;</w:t>
            </w:r>
          </w:p>
          <w:p w14:paraId="3A267FBC" w14:textId="77777777" w:rsidR="006333D4" w:rsidRPr="006333D4" w:rsidRDefault="006333D4" w:rsidP="00C717B8">
            <w:pPr>
              <w:jc w:val="both"/>
            </w:pPr>
            <w:r w:rsidRPr="006333D4">
              <w:t>KP – kvalifikacijos tobulinimo pažymėjimo / pažymos kaina.</w:t>
            </w:r>
          </w:p>
          <w:p w14:paraId="71FF0FA8" w14:textId="77777777" w:rsidR="006333D4" w:rsidRPr="006333D4" w:rsidRDefault="006333D4" w:rsidP="00C717B8">
            <w:pPr>
              <w:jc w:val="both"/>
              <w:rPr>
                <w:bCs/>
              </w:rPr>
            </w:pPr>
          </w:p>
        </w:tc>
      </w:tr>
      <w:tr w:rsidR="006333D4" w:rsidRPr="006333D4" w14:paraId="5C22584F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0DAE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1.2.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9C16" w14:textId="77777777" w:rsidR="006333D4" w:rsidRPr="006333D4" w:rsidRDefault="006333D4" w:rsidP="00C717B8">
            <w:pPr>
              <w:rPr>
                <w:color w:val="000000"/>
              </w:rPr>
            </w:pPr>
            <w:r w:rsidRPr="006333D4">
              <w:rPr>
                <w:color w:val="000000"/>
              </w:rPr>
              <w:t xml:space="preserve">Kvalifikacijos tobulinimo renginio (seminaro, paskaitos, kursų, konferencijos, konsultacijų, </w:t>
            </w:r>
            <w:proofErr w:type="spellStart"/>
            <w:r w:rsidRPr="006333D4">
              <w:rPr>
                <w:color w:val="000000"/>
              </w:rPr>
              <w:t>supervizijų</w:t>
            </w:r>
            <w:proofErr w:type="spellEnd"/>
            <w:r w:rsidRPr="006333D4">
              <w:rPr>
                <w:color w:val="000000"/>
              </w:rPr>
              <w:t xml:space="preserve"> ir kt.) dalyvio mokestis ugdymo įstaigai, kai renginys vyksta mokyklos patalpose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C398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 asmeniui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82A0" w14:textId="77777777" w:rsidR="006333D4" w:rsidRPr="006333D4" w:rsidRDefault="006333D4" w:rsidP="00C717B8">
            <w:pPr>
              <w:jc w:val="both"/>
            </w:pPr>
            <w:r w:rsidRPr="006333D4">
              <w:t>Skaičiuojamas pagal formulę atlikus viešųjų pirkimų procedūras</w:t>
            </w:r>
          </w:p>
          <w:p w14:paraId="780BF6E2" w14:textId="77777777" w:rsidR="006333D4" w:rsidRPr="006333D4" w:rsidRDefault="006333D4" w:rsidP="00C717B8">
            <w:pPr>
              <w:jc w:val="both"/>
              <w:rPr>
                <w:lang w:val="pt-BR"/>
              </w:rPr>
            </w:pPr>
            <w:r w:rsidRPr="006333D4">
              <w:rPr>
                <w:lang w:val="pt-BR"/>
              </w:rPr>
              <w:t>M = A +10 %</w:t>
            </w:r>
          </w:p>
          <w:p w14:paraId="7E0B363C" w14:textId="77777777" w:rsidR="006333D4" w:rsidRPr="006333D4" w:rsidRDefault="006333D4" w:rsidP="00C717B8">
            <w:pPr>
              <w:jc w:val="both"/>
            </w:pPr>
            <w:r w:rsidRPr="006333D4">
              <w:t>M – dalyvio mokestis;</w:t>
            </w:r>
          </w:p>
          <w:p w14:paraId="0F2C86DF" w14:textId="5ED061E4" w:rsidR="006333D4" w:rsidRPr="006333D4" w:rsidRDefault="006333D4" w:rsidP="00C717B8">
            <w:pPr>
              <w:jc w:val="both"/>
            </w:pPr>
            <w:r w:rsidRPr="006333D4">
              <w:t>A – lektoriaus paslaugos kaina</w:t>
            </w:r>
            <w:r w:rsidR="00BE7963">
              <w:t>.</w:t>
            </w:r>
          </w:p>
          <w:p w14:paraId="19794395" w14:textId="77777777" w:rsidR="006333D4" w:rsidRPr="006333D4" w:rsidRDefault="006333D4" w:rsidP="00C717B8">
            <w:pPr>
              <w:jc w:val="both"/>
            </w:pPr>
          </w:p>
        </w:tc>
      </w:tr>
      <w:tr w:rsidR="006333D4" w:rsidRPr="006333D4" w14:paraId="2578DB99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BCD8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2.</w:t>
            </w:r>
          </w:p>
        </w:tc>
        <w:tc>
          <w:tcPr>
            <w:tcW w:w="8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84C1" w14:textId="6286DB3C" w:rsidR="006333D4" w:rsidRPr="006333D4" w:rsidRDefault="006333D4" w:rsidP="00C717B8">
            <w:pPr>
              <w:autoSpaceDE w:val="0"/>
              <w:jc w:val="center"/>
              <w:rPr>
                <w:bCs/>
                <w:lang w:val="pt-BR"/>
              </w:rPr>
            </w:pPr>
            <w:r w:rsidRPr="006333D4">
              <w:rPr>
                <w:bCs/>
              </w:rPr>
              <w:t>Pažymėjimo</w:t>
            </w:r>
            <w:r w:rsidR="00BE7963">
              <w:rPr>
                <w:bCs/>
              </w:rPr>
              <w:t xml:space="preserve"> </w:t>
            </w:r>
            <w:r w:rsidRPr="006333D4">
              <w:rPr>
                <w:bCs/>
              </w:rPr>
              <w:t>/</w:t>
            </w:r>
            <w:r w:rsidR="00BE7963">
              <w:rPr>
                <w:bCs/>
              </w:rPr>
              <w:t xml:space="preserve"> </w:t>
            </w:r>
            <w:r w:rsidRPr="006333D4">
              <w:rPr>
                <w:bCs/>
              </w:rPr>
              <w:t>pažymos išdavimas</w:t>
            </w:r>
          </w:p>
        </w:tc>
      </w:tr>
      <w:tr w:rsidR="006333D4" w:rsidRPr="006333D4" w14:paraId="09E2A4E4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3D3F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2.1.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6A5C" w14:textId="01468B23" w:rsidR="006333D4" w:rsidRPr="006333D4" w:rsidRDefault="006333D4" w:rsidP="00C717B8">
            <w:pPr>
              <w:autoSpaceDE w:val="0"/>
              <w:rPr>
                <w:color w:val="000000"/>
              </w:rPr>
            </w:pPr>
            <w:r w:rsidRPr="006333D4">
              <w:t>Kvalifikacijos tobulinimo pažymėjimo / pažymos arba dublikato išdavimas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2868" w14:textId="7F30EB6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 vnt</w:t>
            </w:r>
            <w:r>
              <w:rPr>
                <w:bCs/>
              </w:rPr>
              <w:t>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0796" w14:textId="77777777" w:rsidR="006333D4" w:rsidRPr="006333D4" w:rsidRDefault="006333D4" w:rsidP="00C717B8">
            <w:pPr>
              <w:autoSpaceDE w:val="0"/>
              <w:jc w:val="center"/>
              <w:rPr>
                <w:lang w:val="pt-BR"/>
              </w:rPr>
            </w:pPr>
            <w:r w:rsidRPr="006333D4">
              <w:rPr>
                <w:lang w:val="pt-BR"/>
              </w:rPr>
              <w:t>3,00</w:t>
            </w:r>
          </w:p>
        </w:tc>
      </w:tr>
      <w:tr w:rsidR="006333D4" w:rsidRPr="006333D4" w14:paraId="6459842F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766D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2.2.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BE3" w14:textId="0A546E46" w:rsidR="006333D4" w:rsidRPr="006333D4" w:rsidRDefault="006333D4" w:rsidP="00C717B8">
            <w:pPr>
              <w:autoSpaceDE w:val="0"/>
              <w:rPr>
                <w:color w:val="000000"/>
              </w:rPr>
            </w:pPr>
            <w:r w:rsidRPr="006333D4">
              <w:t>Elektroninio kvalifikacijos tobulinimo pažymėjimo / pažymos arba dublikato išdavimas su priedu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BE63" w14:textId="12C3CE53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 vnt</w:t>
            </w:r>
            <w:r>
              <w:rPr>
                <w:bCs/>
              </w:rPr>
              <w:t>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BD86" w14:textId="77777777" w:rsidR="006333D4" w:rsidRPr="006333D4" w:rsidRDefault="006333D4" w:rsidP="00C717B8">
            <w:pPr>
              <w:autoSpaceDE w:val="0"/>
              <w:jc w:val="center"/>
              <w:rPr>
                <w:lang w:val="pt-BR"/>
              </w:rPr>
            </w:pPr>
            <w:r w:rsidRPr="006333D4">
              <w:rPr>
                <w:lang w:val="pt-BR"/>
              </w:rPr>
              <w:t>3,00</w:t>
            </w:r>
          </w:p>
        </w:tc>
      </w:tr>
      <w:tr w:rsidR="006333D4" w:rsidRPr="006333D4" w14:paraId="160344E3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FC5A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3.</w:t>
            </w:r>
          </w:p>
        </w:tc>
        <w:tc>
          <w:tcPr>
            <w:tcW w:w="8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FD82" w14:textId="77777777" w:rsidR="006333D4" w:rsidRPr="006333D4" w:rsidRDefault="006333D4" w:rsidP="00C717B8">
            <w:pPr>
              <w:autoSpaceDE w:val="0"/>
              <w:jc w:val="center"/>
              <w:rPr>
                <w:lang w:val="pt-BR"/>
              </w:rPr>
            </w:pPr>
            <w:r w:rsidRPr="006333D4">
              <w:rPr>
                <w:lang w:val="pt-BR"/>
              </w:rPr>
              <w:t>Mokomosios dalomosios medžiagos parengimas</w:t>
            </w:r>
          </w:p>
        </w:tc>
      </w:tr>
      <w:tr w:rsidR="006333D4" w:rsidRPr="006333D4" w14:paraId="7FCCF5B3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7815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3.1.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7945" w14:textId="77777777" w:rsidR="006333D4" w:rsidRPr="006333D4" w:rsidRDefault="006333D4" w:rsidP="00C717B8">
            <w:pPr>
              <w:jc w:val="both"/>
            </w:pPr>
            <w:r w:rsidRPr="006333D4">
              <w:t>Nespalvoto teksto kopijavimas:</w:t>
            </w:r>
          </w:p>
          <w:p w14:paraId="6CDE3C62" w14:textId="77777777" w:rsidR="006333D4" w:rsidRPr="006333D4" w:rsidRDefault="006333D4" w:rsidP="00C717B8">
            <w:pPr>
              <w:autoSpaceDE w:val="0"/>
              <w:rPr>
                <w:color w:val="000000"/>
              </w:rPr>
            </w:pPr>
            <w:r w:rsidRPr="006333D4">
              <w:t>A4 formato lapas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6028" w14:textId="7CCEFC06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 vnt</w:t>
            </w:r>
            <w:r>
              <w:rPr>
                <w:bCs/>
              </w:rPr>
              <w:t>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AF61" w14:textId="77777777" w:rsidR="006333D4" w:rsidRPr="006333D4" w:rsidRDefault="006333D4" w:rsidP="00C717B8">
            <w:pPr>
              <w:autoSpaceDE w:val="0"/>
              <w:jc w:val="center"/>
              <w:rPr>
                <w:lang w:val="pt-BR"/>
              </w:rPr>
            </w:pPr>
            <w:r w:rsidRPr="006333D4">
              <w:rPr>
                <w:lang w:val="pt-BR"/>
              </w:rPr>
              <w:t>0,10</w:t>
            </w:r>
          </w:p>
        </w:tc>
      </w:tr>
      <w:tr w:rsidR="006333D4" w:rsidRPr="006333D4" w14:paraId="19B0B700" w14:textId="77777777" w:rsidTr="00C717B8">
        <w:trPr>
          <w:trHeight w:val="6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CF95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lastRenderedPageBreak/>
              <w:t>3.2.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7533" w14:textId="77777777" w:rsidR="006333D4" w:rsidRPr="006333D4" w:rsidRDefault="006333D4" w:rsidP="00C717B8">
            <w:pPr>
              <w:jc w:val="both"/>
            </w:pPr>
            <w:r w:rsidRPr="006333D4">
              <w:t>Spalvoto teksto kopijavimas:</w:t>
            </w:r>
          </w:p>
          <w:p w14:paraId="276EF8ED" w14:textId="77777777" w:rsidR="006333D4" w:rsidRPr="006333D4" w:rsidRDefault="006333D4" w:rsidP="00C717B8">
            <w:pPr>
              <w:autoSpaceDE w:val="0"/>
              <w:rPr>
                <w:color w:val="000000"/>
              </w:rPr>
            </w:pPr>
            <w:r w:rsidRPr="006333D4">
              <w:t>A4 formato lapas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55F1" w14:textId="77777777" w:rsidR="006333D4" w:rsidRPr="006333D4" w:rsidRDefault="006333D4" w:rsidP="00C717B8">
            <w:pPr>
              <w:jc w:val="center"/>
              <w:rPr>
                <w:bCs/>
              </w:rPr>
            </w:pPr>
            <w:r w:rsidRPr="006333D4">
              <w:rPr>
                <w:bCs/>
              </w:rPr>
              <w:t>1 vnt.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E116" w14:textId="77777777" w:rsidR="006333D4" w:rsidRPr="006333D4" w:rsidRDefault="006333D4" w:rsidP="00C717B8">
            <w:pPr>
              <w:autoSpaceDE w:val="0"/>
              <w:jc w:val="center"/>
              <w:rPr>
                <w:lang w:val="pt-BR"/>
              </w:rPr>
            </w:pPr>
            <w:r w:rsidRPr="006333D4">
              <w:rPr>
                <w:lang w:val="pt-BR"/>
              </w:rPr>
              <w:t>0,50</w:t>
            </w:r>
          </w:p>
        </w:tc>
      </w:tr>
    </w:tbl>
    <w:p w14:paraId="2B6942B5" w14:textId="77777777" w:rsidR="006333D4" w:rsidRPr="006333D4" w:rsidRDefault="006333D4" w:rsidP="006333D4">
      <w:pPr>
        <w:ind w:left="992"/>
        <w:jc w:val="both"/>
        <w:rPr>
          <w:color w:val="000000"/>
        </w:rPr>
      </w:pPr>
      <w:r w:rsidRPr="006333D4">
        <w:rPr>
          <w:bCs/>
        </w:rPr>
        <w:tab/>
      </w:r>
    </w:p>
    <w:p w14:paraId="4A80C183" w14:textId="77777777" w:rsidR="00761C64" w:rsidRDefault="00761C64" w:rsidP="00813217"/>
    <w:p w14:paraId="609B78BA" w14:textId="77777777" w:rsidR="00325C53" w:rsidRDefault="00325C53" w:rsidP="00813217"/>
    <w:p w14:paraId="2E06FAD1" w14:textId="77777777" w:rsidR="00325C53" w:rsidRDefault="00325C53" w:rsidP="00813217"/>
    <w:p w14:paraId="5892DAA6" w14:textId="77777777" w:rsidR="00325C53" w:rsidRDefault="00325C53" w:rsidP="00813217"/>
    <w:p w14:paraId="31456F36" w14:textId="77777777" w:rsidR="00325C53" w:rsidRDefault="00325C53" w:rsidP="00813217"/>
    <w:p w14:paraId="52054205" w14:textId="77777777" w:rsidR="00325C53" w:rsidRDefault="00325C53" w:rsidP="00813217"/>
    <w:p w14:paraId="79066CF1" w14:textId="77777777" w:rsidR="00325C53" w:rsidRDefault="00325C53" w:rsidP="00813217"/>
    <w:p w14:paraId="1E1BD29B" w14:textId="77777777" w:rsidR="00325C53" w:rsidRDefault="00325C53" w:rsidP="00813217"/>
    <w:p w14:paraId="2805CEAB" w14:textId="77777777" w:rsidR="00325C53" w:rsidRDefault="00325C53" w:rsidP="00813217"/>
    <w:p w14:paraId="12AA25DE" w14:textId="77777777" w:rsidR="00325C53" w:rsidRDefault="00325C53" w:rsidP="00813217"/>
    <w:p w14:paraId="2C044A3E" w14:textId="77777777" w:rsidR="00325C53" w:rsidRDefault="00325C53" w:rsidP="00813217"/>
    <w:p w14:paraId="2A7B3B19" w14:textId="77777777" w:rsidR="00325C53" w:rsidRDefault="00325C53" w:rsidP="00813217"/>
    <w:p w14:paraId="3F1DD12B" w14:textId="77777777" w:rsidR="00325C53" w:rsidRDefault="00325C53" w:rsidP="00813217"/>
    <w:p w14:paraId="4E5D9F86" w14:textId="77777777" w:rsidR="00325C53" w:rsidRDefault="00325C53" w:rsidP="00813217"/>
    <w:p w14:paraId="1F199AF5" w14:textId="77777777" w:rsidR="00325C53" w:rsidRDefault="00325C53" w:rsidP="00813217"/>
    <w:p w14:paraId="0D04850B" w14:textId="77777777" w:rsidR="00325C53" w:rsidRDefault="00325C53" w:rsidP="00813217"/>
    <w:p w14:paraId="5C315FA4" w14:textId="77777777" w:rsidR="00325C53" w:rsidRDefault="00325C53" w:rsidP="00813217"/>
    <w:p w14:paraId="40F765E6" w14:textId="77777777" w:rsidR="00325C53" w:rsidRDefault="00325C53" w:rsidP="00813217"/>
    <w:p w14:paraId="03193A44" w14:textId="77777777" w:rsidR="00325C53" w:rsidRDefault="00325C53" w:rsidP="00813217"/>
    <w:p w14:paraId="2C251CAA" w14:textId="77777777" w:rsidR="00325C53" w:rsidRDefault="00325C53" w:rsidP="00813217"/>
    <w:p w14:paraId="181D45B1" w14:textId="77777777" w:rsidR="00325C53" w:rsidRDefault="00325C53" w:rsidP="00813217"/>
    <w:p w14:paraId="4F8EA5EF" w14:textId="77777777" w:rsidR="006333D4" w:rsidRDefault="006333D4" w:rsidP="00813217"/>
    <w:p w14:paraId="1905A1BB" w14:textId="77777777" w:rsidR="006333D4" w:rsidRDefault="006333D4" w:rsidP="00813217"/>
    <w:p w14:paraId="735AECA5" w14:textId="77777777" w:rsidR="006333D4" w:rsidRDefault="006333D4" w:rsidP="00813217"/>
    <w:p w14:paraId="5894D4AB" w14:textId="77777777" w:rsidR="006333D4" w:rsidRDefault="006333D4" w:rsidP="00813217"/>
    <w:p w14:paraId="46C55773" w14:textId="77777777" w:rsidR="006333D4" w:rsidRDefault="006333D4" w:rsidP="00813217"/>
    <w:p w14:paraId="15D580A9" w14:textId="77777777" w:rsidR="006333D4" w:rsidRDefault="006333D4" w:rsidP="00813217"/>
    <w:p w14:paraId="6473831C" w14:textId="77777777" w:rsidR="006333D4" w:rsidRDefault="006333D4" w:rsidP="00813217"/>
    <w:p w14:paraId="5C1BF400" w14:textId="77777777" w:rsidR="006333D4" w:rsidRDefault="006333D4" w:rsidP="00813217"/>
    <w:p w14:paraId="5B438ED3" w14:textId="77777777" w:rsidR="006333D4" w:rsidRDefault="006333D4" w:rsidP="00813217"/>
    <w:p w14:paraId="0EAFC12C" w14:textId="77777777" w:rsidR="006333D4" w:rsidRDefault="006333D4" w:rsidP="00813217"/>
    <w:p w14:paraId="1765010A" w14:textId="77777777" w:rsidR="006333D4" w:rsidRDefault="006333D4" w:rsidP="00813217"/>
    <w:p w14:paraId="3E31A1AA" w14:textId="77777777" w:rsidR="006333D4" w:rsidRDefault="006333D4" w:rsidP="00813217"/>
    <w:p w14:paraId="41FC7AD2" w14:textId="77777777" w:rsidR="006333D4" w:rsidRDefault="006333D4" w:rsidP="00813217"/>
    <w:p w14:paraId="49BC56A0" w14:textId="77777777" w:rsidR="006333D4" w:rsidRDefault="006333D4" w:rsidP="00813217"/>
    <w:p w14:paraId="09FFB9DF" w14:textId="77777777" w:rsidR="006333D4" w:rsidRDefault="006333D4" w:rsidP="00813217"/>
    <w:p w14:paraId="7F1C3ACE" w14:textId="77777777" w:rsidR="006333D4" w:rsidRDefault="006333D4" w:rsidP="00813217"/>
    <w:p w14:paraId="64A13A92" w14:textId="77777777" w:rsidR="006333D4" w:rsidRDefault="006333D4" w:rsidP="00813217"/>
    <w:p w14:paraId="7234BE5A" w14:textId="77777777" w:rsidR="006333D4" w:rsidRDefault="006333D4" w:rsidP="00813217"/>
    <w:p w14:paraId="3D4AA14E" w14:textId="77777777" w:rsidR="006333D4" w:rsidRDefault="006333D4" w:rsidP="00813217"/>
    <w:p w14:paraId="6F7914CF" w14:textId="77777777" w:rsidR="006333D4" w:rsidRDefault="006333D4" w:rsidP="00813217"/>
    <w:p w14:paraId="57BB5107" w14:textId="77777777" w:rsidR="006333D4" w:rsidRDefault="006333D4" w:rsidP="00813217"/>
    <w:p w14:paraId="1C483B79" w14:textId="77777777" w:rsidR="006333D4" w:rsidRDefault="006333D4" w:rsidP="00813217"/>
    <w:p w14:paraId="4A965E1C" w14:textId="77777777" w:rsidR="006333D4" w:rsidRDefault="006333D4" w:rsidP="00813217"/>
    <w:p w14:paraId="4BB943FB" w14:textId="6587831C" w:rsidR="00813217" w:rsidRDefault="00813217" w:rsidP="00813217"/>
    <w:sectPr w:rsidR="00813217" w:rsidSect="00E442E6">
      <w:headerReference w:type="default" r:id="rId7"/>
      <w:foot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652D7" w14:textId="77777777" w:rsidR="0069543C" w:rsidRDefault="0069543C" w:rsidP="00A979D6">
      <w:r>
        <w:separator/>
      </w:r>
    </w:p>
  </w:endnote>
  <w:endnote w:type="continuationSeparator" w:id="0">
    <w:p w14:paraId="172840FC" w14:textId="77777777" w:rsidR="0069543C" w:rsidRDefault="0069543C" w:rsidP="00A9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91FE3" w14:textId="3F91A00E" w:rsidR="00B26595" w:rsidRDefault="00B26595">
    <w:pPr>
      <w:pStyle w:val="Porat"/>
    </w:pPr>
  </w:p>
  <w:p w14:paraId="039EBE7A" w14:textId="77777777" w:rsidR="00B26595" w:rsidRDefault="00B2659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F5B2C" w14:textId="77777777" w:rsidR="0069543C" w:rsidRDefault="0069543C" w:rsidP="00A979D6">
      <w:r>
        <w:separator/>
      </w:r>
    </w:p>
  </w:footnote>
  <w:footnote w:type="continuationSeparator" w:id="0">
    <w:p w14:paraId="5197DDA5" w14:textId="77777777" w:rsidR="0069543C" w:rsidRDefault="0069543C" w:rsidP="00A9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574430"/>
      <w:docPartObj>
        <w:docPartGallery w:val="Page Numbers (Top of Page)"/>
        <w:docPartUnique/>
      </w:docPartObj>
    </w:sdtPr>
    <w:sdtEndPr/>
    <w:sdtContent>
      <w:p w14:paraId="28CD4499" w14:textId="1749ACCE" w:rsidR="00E442E6" w:rsidRDefault="00E442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77633" w14:textId="77777777" w:rsidR="00E442E6" w:rsidRDefault="00E442E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F1"/>
    <w:rsid w:val="000328CA"/>
    <w:rsid w:val="000659EF"/>
    <w:rsid w:val="00092C81"/>
    <w:rsid w:val="000C1045"/>
    <w:rsid w:val="000E1FC5"/>
    <w:rsid w:val="000F227F"/>
    <w:rsid w:val="001163B7"/>
    <w:rsid w:val="00146D34"/>
    <w:rsid w:val="00172266"/>
    <w:rsid w:val="00181597"/>
    <w:rsid w:val="001C09B6"/>
    <w:rsid w:val="001C30E5"/>
    <w:rsid w:val="001F3D7B"/>
    <w:rsid w:val="00215488"/>
    <w:rsid w:val="00237CD2"/>
    <w:rsid w:val="00242F6E"/>
    <w:rsid w:val="00265578"/>
    <w:rsid w:val="002672E0"/>
    <w:rsid w:val="00283D68"/>
    <w:rsid w:val="00285BB2"/>
    <w:rsid w:val="002B332C"/>
    <w:rsid w:val="002C34E8"/>
    <w:rsid w:val="002C65D7"/>
    <w:rsid w:val="002D4F19"/>
    <w:rsid w:val="002D73F7"/>
    <w:rsid w:val="003145C0"/>
    <w:rsid w:val="003246BE"/>
    <w:rsid w:val="00325C53"/>
    <w:rsid w:val="00332398"/>
    <w:rsid w:val="003357F0"/>
    <w:rsid w:val="003372C9"/>
    <w:rsid w:val="003A586E"/>
    <w:rsid w:val="003C6278"/>
    <w:rsid w:val="003D691E"/>
    <w:rsid w:val="003F35A9"/>
    <w:rsid w:val="004114A9"/>
    <w:rsid w:val="00443ED8"/>
    <w:rsid w:val="00474B5A"/>
    <w:rsid w:val="004D63A8"/>
    <w:rsid w:val="004E372E"/>
    <w:rsid w:val="00500235"/>
    <w:rsid w:val="005116B2"/>
    <w:rsid w:val="0051448B"/>
    <w:rsid w:val="0053609E"/>
    <w:rsid w:val="005416A9"/>
    <w:rsid w:val="0054230B"/>
    <w:rsid w:val="005725F0"/>
    <w:rsid w:val="00580BB8"/>
    <w:rsid w:val="00595EE8"/>
    <w:rsid w:val="005B147A"/>
    <w:rsid w:val="005D284A"/>
    <w:rsid w:val="005F09D7"/>
    <w:rsid w:val="005F7038"/>
    <w:rsid w:val="00606070"/>
    <w:rsid w:val="00613F34"/>
    <w:rsid w:val="00625C40"/>
    <w:rsid w:val="006333D4"/>
    <w:rsid w:val="00634DFD"/>
    <w:rsid w:val="00686CA9"/>
    <w:rsid w:val="0069543C"/>
    <w:rsid w:val="006B2E84"/>
    <w:rsid w:val="006D378C"/>
    <w:rsid w:val="006D5834"/>
    <w:rsid w:val="006F223C"/>
    <w:rsid w:val="00712888"/>
    <w:rsid w:val="00761C64"/>
    <w:rsid w:val="00772539"/>
    <w:rsid w:val="00783FD0"/>
    <w:rsid w:val="007B0399"/>
    <w:rsid w:val="007E6CC1"/>
    <w:rsid w:val="00811339"/>
    <w:rsid w:val="00813217"/>
    <w:rsid w:val="00816B6D"/>
    <w:rsid w:val="00816DB5"/>
    <w:rsid w:val="008B2FF4"/>
    <w:rsid w:val="008D022C"/>
    <w:rsid w:val="008F742B"/>
    <w:rsid w:val="00903C6E"/>
    <w:rsid w:val="00921F9C"/>
    <w:rsid w:val="0095451E"/>
    <w:rsid w:val="0097714C"/>
    <w:rsid w:val="009811D4"/>
    <w:rsid w:val="00986C2B"/>
    <w:rsid w:val="009A3CB6"/>
    <w:rsid w:val="009A454F"/>
    <w:rsid w:val="009D29BF"/>
    <w:rsid w:val="009D665D"/>
    <w:rsid w:val="009D666F"/>
    <w:rsid w:val="009E4C4B"/>
    <w:rsid w:val="00A1629D"/>
    <w:rsid w:val="00A31242"/>
    <w:rsid w:val="00A4469E"/>
    <w:rsid w:val="00A62391"/>
    <w:rsid w:val="00A62677"/>
    <w:rsid w:val="00A67625"/>
    <w:rsid w:val="00A8446F"/>
    <w:rsid w:val="00A979D6"/>
    <w:rsid w:val="00AA1FF8"/>
    <w:rsid w:val="00AA38E4"/>
    <w:rsid w:val="00AB7C0D"/>
    <w:rsid w:val="00AD2CAE"/>
    <w:rsid w:val="00AE6C41"/>
    <w:rsid w:val="00B138EE"/>
    <w:rsid w:val="00B14D69"/>
    <w:rsid w:val="00B26595"/>
    <w:rsid w:val="00B43B99"/>
    <w:rsid w:val="00B717A8"/>
    <w:rsid w:val="00B850B2"/>
    <w:rsid w:val="00BE7963"/>
    <w:rsid w:val="00BF4F23"/>
    <w:rsid w:val="00C22428"/>
    <w:rsid w:val="00C50445"/>
    <w:rsid w:val="00C76E72"/>
    <w:rsid w:val="00CA2540"/>
    <w:rsid w:val="00CE55F1"/>
    <w:rsid w:val="00D25AD1"/>
    <w:rsid w:val="00D45712"/>
    <w:rsid w:val="00DD2286"/>
    <w:rsid w:val="00E058C2"/>
    <w:rsid w:val="00E42DEE"/>
    <w:rsid w:val="00E43EC8"/>
    <w:rsid w:val="00E442E6"/>
    <w:rsid w:val="00E508D7"/>
    <w:rsid w:val="00E661CA"/>
    <w:rsid w:val="00E76C09"/>
    <w:rsid w:val="00E94251"/>
    <w:rsid w:val="00EA5034"/>
    <w:rsid w:val="00ED4664"/>
    <w:rsid w:val="00F1490A"/>
    <w:rsid w:val="00FB6B7E"/>
    <w:rsid w:val="00FC588B"/>
    <w:rsid w:val="01139047"/>
    <w:rsid w:val="0167C9CF"/>
    <w:rsid w:val="0410C826"/>
    <w:rsid w:val="04E1E6E4"/>
    <w:rsid w:val="0501FB79"/>
    <w:rsid w:val="0569CEF6"/>
    <w:rsid w:val="05E7016A"/>
    <w:rsid w:val="089C1233"/>
    <w:rsid w:val="08F55009"/>
    <w:rsid w:val="0C01D790"/>
    <w:rsid w:val="0C96DC15"/>
    <w:rsid w:val="0F8B97B1"/>
    <w:rsid w:val="12B191EE"/>
    <w:rsid w:val="14204C8D"/>
    <w:rsid w:val="14DEF841"/>
    <w:rsid w:val="1839C050"/>
    <w:rsid w:val="18C8D2CD"/>
    <w:rsid w:val="18F3CB16"/>
    <w:rsid w:val="190019DE"/>
    <w:rsid w:val="1B2C240A"/>
    <w:rsid w:val="1E987085"/>
    <w:rsid w:val="21BD503F"/>
    <w:rsid w:val="23B3877E"/>
    <w:rsid w:val="2690C162"/>
    <w:rsid w:val="2EE1BDED"/>
    <w:rsid w:val="2FCE451B"/>
    <w:rsid w:val="340ECDD5"/>
    <w:rsid w:val="350A0B46"/>
    <w:rsid w:val="369F2222"/>
    <w:rsid w:val="371EF25A"/>
    <w:rsid w:val="37BBEFD8"/>
    <w:rsid w:val="388E9CE8"/>
    <w:rsid w:val="3AC9D93F"/>
    <w:rsid w:val="3B6EE9EA"/>
    <w:rsid w:val="3C8F60FB"/>
    <w:rsid w:val="3D620E0B"/>
    <w:rsid w:val="43A7FD6C"/>
    <w:rsid w:val="450E392E"/>
    <w:rsid w:val="4543CDCD"/>
    <w:rsid w:val="49E9FAA6"/>
    <w:rsid w:val="4A1AA811"/>
    <w:rsid w:val="4A74A46C"/>
    <w:rsid w:val="4AF0E4FC"/>
    <w:rsid w:val="4C95BB84"/>
    <w:rsid w:val="4C9914EC"/>
    <w:rsid w:val="4E3EDB44"/>
    <w:rsid w:val="4F377716"/>
    <w:rsid w:val="4F379491"/>
    <w:rsid w:val="5333A5DC"/>
    <w:rsid w:val="533CAA97"/>
    <w:rsid w:val="5383DD72"/>
    <w:rsid w:val="56754541"/>
    <w:rsid w:val="582C5E8A"/>
    <w:rsid w:val="589DDE3B"/>
    <w:rsid w:val="596641B4"/>
    <w:rsid w:val="59E8B57B"/>
    <w:rsid w:val="5CA26AE5"/>
    <w:rsid w:val="5CF75F6B"/>
    <w:rsid w:val="5DC23DA9"/>
    <w:rsid w:val="5E0BCE03"/>
    <w:rsid w:val="5E8E586D"/>
    <w:rsid w:val="5EA4E2B1"/>
    <w:rsid w:val="61436EC5"/>
    <w:rsid w:val="61FD215A"/>
    <w:rsid w:val="6241A766"/>
    <w:rsid w:val="62EDD53C"/>
    <w:rsid w:val="64F9479C"/>
    <w:rsid w:val="683361BC"/>
    <w:rsid w:val="6E1515F3"/>
    <w:rsid w:val="6FB1F4C3"/>
    <w:rsid w:val="71A9CEA6"/>
    <w:rsid w:val="72CD0F56"/>
    <w:rsid w:val="72D6BCCE"/>
    <w:rsid w:val="7808A30E"/>
    <w:rsid w:val="78DDDEBF"/>
    <w:rsid w:val="794060CF"/>
    <w:rsid w:val="7953699D"/>
    <w:rsid w:val="7A426885"/>
    <w:rsid w:val="7C93C133"/>
    <w:rsid w:val="7EE342CE"/>
    <w:rsid w:val="7F33C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7A71"/>
  <w15:chartTrackingRefBased/>
  <w15:docId w15:val="{726B7126-428B-4D0E-A018-77596E7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E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F3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124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3124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3124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12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124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3124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31242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79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79D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79D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26595"/>
  </w:style>
  <w:style w:type="paragraph" w:styleId="Porat">
    <w:name w:val="footer"/>
    <w:basedOn w:val="prastasis"/>
    <w:link w:val="Porat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26595"/>
  </w:style>
  <w:style w:type="paragraph" w:styleId="Pataisymai">
    <w:name w:val="Revision"/>
    <w:hidden/>
    <w:uiPriority w:val="99"/>
    <w:semiHidden/>
    <w:rsid w:val="00BE7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CB6E-23F5-42CC-B4E8-0F1E726F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1182</Words>
  <Characters>675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Sadauskienė, Dalia</cp:lastModifiedBy>
  <cp:revision>2</cp:revision>
  <cp:lastPrinted>2025-01-14T08:22:00Z</cp:lastPrinted>
  <dcterms:created xsi:type="dcterms:W3CDTF">2025-01-21T07:19:00Z</dcterms:created>
  <dcterms:modified xsi:type="dcterms:W3CDTF">2025-01-21T07:19:00Z</dcterms:modified>
</cp:coreProperties>
</file>